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31B8B" w14:textId="026BDD69" w:rsidR="00926D0F" w:rsidRPr="00D20CF8" w:rsidRDefault="00D20CF8" w:rsidP="00D20CF8">
      <w:pPr>
        <w:spacing w:line="240" w:lineRule="auto"/>
        <w:ind w:left="720" w:firstLine="720"/>
        <w:jc w:val="center"/>
        <w:rPr>
          <w:rFonts w:ascii="Century Gothic" w:eastAsia="Century Gothic" w:hAnsi="Century Gothic" w:cs="Century Gothic"/>
          <w:b/>
          <w:bCs/>
        </w:rPr>
      </w:pPr>
      <w:r w:rsidRPr="00D20CF8">
        <w:rPr>
          <w:b/>
          <w:bCs/>
          <w:sz w:val="24"/>
          <w:szCs w:val="24"/>
        </w:rPr>
        <w:t>ДОКЛАД ОТ АРХ. ГЕОРГИ НАЙДЕНОВ И АРХ. РАДИНА ТОДОРОВА СЛЕД ПОСЕЩЕНИЕ НА 29-ТИ КОНГРЕС НА МЕЖДУНАРОДНИЯ СЪЮЗ НА АРХИТЕКТИТЕ (UIA) 2026 ГОДИНА - БАРСЕЛОНА</w:t>
      </w:r>
    </w:p>
    <w:p w14:paraId="3584952A" w14:textId="77777777" w:rsidR="00926D0F" w:rsidRDefault="00926D0F">
      <w:pPr>
        <w:spacing w:line="240" w:lineRule="auto"/>
        <w:ind w:left="720" w:firstLine="720"/>
        <w:jc w:val="both"/>
        <w:rPr>
          <w:rFonts w:ascii="Century Gothic" w:eastAsia="Century Gothic" w:hAnsi="Century Gothic" w:cs="Century Gothic"/>
        </w:rPr>
      </w:pPr>
    </w:p>
    <w:p w14:paraId="3A5B34DD" w14:textId="77777777" w:rsidR="00926D0F" w:rsidRDefault="00926D0F">
      <w:pPr>
        <w:jc w:val="center"/>
        <w:rPr>
          <w:b/>
          <w:bCs/>
          <w:sz w:val="36"/>
          <w:szCs w:val="36"/>
        </w:rPr>
      </w:pPr>
    </w:p>
    <w:p w14:paraId="5807DC7F" w14:textId="77777777" w:rsidR="00926D0F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29-ият конгрес на Международния съюз на архитектите (UIA) се проведе в Барселона, Испания от 28-и юни до 2-ри юли на няколко локации в града. Такова събитие се организира на всеки три години в различен град, като следващият ще е в Пекин през 2029-а година. </w:t>
      </w:r>
    </w:p>
    <w:p w14:paraId="40A2E8A7" w14:textId="77777777" w:rsidR="00926D0F" w:rsidRDefault="00926D0F">
      <w:pPr>
        <w:rPr>
          <w:sz w:val="24"/>
          <w:szCs w:val="24"/>
        </w:rPr>
      </w:pPr>
    </w:p>
    <w:p w14:paraId="44C41374" w14:textId="77777777" w:rsidR="00926D0F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Основна информация за конгреса:</w:t>
      </w:r>
    </w:p>
    <w:p w14:paraId="312B193D" w14:textId="77777777" w:rsidR="00926D0F" w:rsidRDefault="00926D0F">
      <w:pPr>
        <w:ind w:firstLine="720"/>
        <w:rPr>
          <w:b/>
          <w:bCs/>
          <w:sz w:val="24"/>
          <w:szCs w:val="24"/>
        </w:rPr>
      </w:pPr>
    </w:p>
    <w:p w14:paraId="5D7419AB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  <w:u w:val="single"/>
        </w:rPr>
        <w:t>Тема: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„Becoming. Architectures for a planet in transition“</w:t>
      </w:r>
      <w:r>
        <w:rPr>
          <w:sz w:val="24"/>
          <w:szCs w:val="24"/>
        </w:rPr>
        <w:t xml:space="preserve"> („В процес на изграждане. Архитектури за планета в преход“). Фокусът беше върху екологични, социални, материални и културни преходи, включително климатична криза, криза на жилищата, устойчивост на материалите, кръгова икономика и бъдещето на архитектурата; ￼</w:t>
      </w:r>
    </w:p>
    <w:p w14:paraId="4A098D29" w14:textId="77777777" w:rsidR="00926D0F" w:rsidRDefault="00926D0F">
      <w:pPr>
        <w:rPr>
          <w:sz w:val="24"/>
          <w:szCs w:val="24"/>
        </w:rPr>
      </w:pPr>
    </w:p>
    <w:p w14:paraId="6B794824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  <w:u w:val="single"/>
        </w:rPr>
        <w:t>Място:</w:t>
      </w:r>
      <w:r>
        <w:rPr>
          <w:sz w:val="24"/>
          <w:szCs w:val="24"/>
        </w:rPr>
        <w:t xml:space="preserve"> Барселона (и метрополитен район). Това беше втората домакинска роля на града след 1996 г. (първият път, в който един град домакинства два пъти). UNESCO обяви Барселона за Световна столица на архитектурата 2026;</w:t>
      </w:r>
    </w:p>
    <w:p w14:paraId="26D17CA6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￼</w:t>
      </w:r>
    </w:p>
    <w:p w14:paraId="4DA7B19D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b/>
          <w:bCs/>
          <w:sz w:val="24"/>
          <w:szCs w:val="24"/>
          <w:u w:val="single"/>
        </w:rPr>
        <w:t xml:space="preserve">  Организатори: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UIA, в партньорство с Consejo Superior de Colegios de Arquitectos de España (CSCAE) и Col·legi d’Arquitectes de Catalunya (COAC), с подкрепа от испанското Министерство на жилищата, Generalitat de Catalunya и Община Барселона;</w:t>
      </w:r>
    </w:p>
    <w:p w14:paraId="3555AE8D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￼</w:t>
      </w:r>
    </w:p>
    <w:p w14:paraId="33161AE2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>
        <w:rPr>
          <w:b/>
          <w:bCs/>
          <w:sz w:val="24"/>
          <w:szCs w:val="24"/>
          <w:u w:val="single"/>
        </w:rPr>
        <w:t xml:space="preserve"> Участници:</w:t>
      </w:r>
      <w:r>
        <w:rPr>
          <w:sz w:val="24"/>
          <w:szCs w:val="24"/>
        </w:rPr>
        <w:t xml:space="preserve"> Около 10 000 професионалисти, студенти и представители от над 130 страни. Около 250 лектори и над 100 сесии.</w:t>
      </w:r>
    </w:p>
    <w:p w14:paraId="72122AC3" w14:textId="77777777" w:rsidR="00926D0F" w:rsidRDefault="00926D0F">
      <w:pPr>
        <w:rPr>
          <w:sz w:val="24"/>
          <w:szCs w:val="24"/>
        </w:rPr>
      </w:pPr>
    </w:p>
    <w:p w14:paraId="3DFF72CD" w14:textId="77777777" w:rsidR="00926D0F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Програмата беше организирана около шест тематични направления (всяко с половин ден фокус през основните дни):</w:t>
      </w:r>
    </w:p>
    <w:p w14:paraId="0BE3F4F9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Becoming More-than-human</w:t>
      </w:r>
      <w:r>
        <w:rPr>
          <w:sz w:val="24"/>
          <w:szCs w:val="24"/>
        </w:rPr>
        <w:t xml:space="preserve"> (екология, екосистеми, климат).</w:t>
      </w:r>
    </w:p>
    <w:p w14:paraId="4339A769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Becoming Circular</w:t>
      </w:r>
      <w:r>
        <w:rPr>
          <w:sz w:val="24"/>
          <w:szCs w:val="24"/>
        </w:rPr>
        <w:t xml:space="preserve"> (рециклиране, жизнени цикли на сгради).</w:t>
      </w:r>
    </w:p>
    <w:p w14:paraId="15D82E67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Becoming Embodied</w:t>
      </w:r>
      <w:r>
        <w:rPr>
          <w:sz w:val="24"/>
          <w:szCs w:val="24"/>
        </w:rPr>
        <w:t xml:space="preserve"> (материали и технологии).</w:t>
      </w:r>
    </w:p>
    <w:p w14:paraId="2178F54B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Becoming Interdependent</w:t>
      </w:r>
      <w:r>
        <w:rPr>
          <w:sz w:val="24"/>
          <w:szCs w:val="24"/>
        </w:rPr>
        <w:t xml:space="preserve"> (политики, жилища, публични пространства).</w:t>
      </w:r>
    </w:p>
    <w:p w14:paraId="386709D9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Becoming Hyper-conscious</w:t>
      </w:r>
      <w:r>
        <w:rPr>
          <w:sz w:val="24"/>
          <w:szCs w:val="24"/>
        </w:rPr>
        <w:t xml:space="preserve"> (данни, геополитика, регулации).</w:t>
      </w:r>
    </w:p>
    <w:p w14:paraId="63F1AE3C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Becoming Attuned</w:t>
      </w:r>
      <w:r>
        <w:rPr>
          <w:sz w:val="24"/>
          <w:szCs w:val="24"/>
        </w:rPr>
        <w:t xml:space="preserve"> (поетика, естетика, култура). ￼</w:t>
      </w:r>
    </w:p>
    <w:p w14:paraId="49B61CEC" w14:textId="77777777" w:rsidR="00926D0F" w:rsidRDefault="00926D0F">
      <w:pPr>
        <w:rPr>
          <w:sz w:val="24"/>
          <w:szCs w:val="24"/>
        </w:rPr>
      </w:pPr>
    </w:p>
    <w:p w14:paraId="6A805D80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Основните конгресни сесии се проведоха на 29, 30 юни и 1 юли в CCIB (Centro de Convenciones Internacional de Barcelona).</w:t>
      </w:r>
    </w:p>
    <w:p w14:paraId="598FFA8C" w14:textId="77777777" w:rsidR="00926D0F" w:rsidRDefault="00926D0F">
      <w:pPr>
        <w:rPr>
          <w:sz w:val="24"/>
          <w:szCs w:val="24"/>
        </w:rPr>
      </w:pPr>
    </w:p>
    <w:p w14:paraId="038BC127" w14:textId="77777777" w:rsidR="00926D0F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Основни локации за провеждане на събитията:</w:t>
      </w:r>
    </w:p>
    <w:p w14:paraId="237DA50D" w14:textId="77777777" w:rsidR="00926D0F" w:rsidRDefault="00926D0F">
      <w:pPr>
        <w:ind w:firstLine="720"/>
        <w:rPr>
          <w:b/>
          <w:bCs/>
          <w:sz w:val="24"/>
          <w:szCs w:val="24"/>
        </w:rPr>
      </w:pPr>
    </w:p>
    <w:p w14:paraId="263199D3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CCIB</w:t>
      </w:r>
      <w:r>
        <w:rPr>
          <w:sz w:val="24"/>
          <w:szCs w:val="24"/>
        </w:rPr>
        <w:t xml:space="preserve"> — основни конференции и сесии.</w:t>
      </w:r>
      <w:r>
        <w:rPr>
          <w:noProof/>
          <w:sz w:val="24"/>
          <w:szCs w:val="24"/>
        </w:rPr>
        <w:drawing>
          <wp:inline distT="114300" distB="114300" distL="114300" distR="114300" wp14:anchorId="0032907F" wp14:editId="2EDE14D4">
            <wp:extent cx="6206024" cy="4624871"/>
            <wp:effectExtent l="0" t="0" r="0" b="0"/>
            <wp:docPr id="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6024" cy="46248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E6ECAC" w14:textId="77777777" w:rsidR="00926D0F" w:rsidRDefault="00926D0F">
      <w:pPr>
        <w:rPr>
          <w:sz w:val="24"/>
          <w:szCs w:val="24"/>
        </w:rPr>
      </w:pPr>
    </w:p>
    <w:p w14:paraId="51126517" w14:textId="77777777" w:rsidR="00926D0F" w:rsidRDefault="00926D0F">
      <w:pPr>
        <w:rPr>
          <w:sz w:val="24"/>
          <w:szCs w:val="24"/>
        </w:rPr>
      </w:pPr>
    </w:p>
    <w:p w14:paraId="49BCFEB1" w14:textId="77777777" w:rsidR="00926D0F" w:rsidRDefault="00926D0F">
      <w:pPr>
        <w:rPr>
          <w:sz w:val="24"/>
          <w:szCs w:val="24"/>
        </w:rPr>
      </w:pPr>
    </w:p>
    <w:p w14:paraId="7283B63F" w14:textId="77777777" w:rsidR="00926D0F" w:rsidRDefault="00926D0F">
      <w:pPr>
        <w:rPr>
          <w:sz w:val="24"/>
          <w:szCs w:val="24"/>
        </w:rPr>
      </w:pPr>
    </w:p>
    <w:p w14:paraId="41F388F2" w14:textId="77777777" w:rsidR="00926D0F" w:rsidRDefault="00926D0F">
      <w:pPr>
        <w:rPr>
          <w:sz w:val="24"/>
          <w:szCs w:val="24"/>
        </w:rPr>
      </w:pPr>
    </w:p>
    <w:p w14:paraId="36D981B5" w14:textId="77777777" w:rsidR="00926D0F" w:rsidRDefault="00926D0F">
      <w:pPr>
        <w:rPr>
          <w:sz w:val="24"/>
          <w:szCs w:val="24"/>
        </w:rPr>
      </w:pPr>
    </w:p>
    <w:p w14:paraId="5151D5C5" w14:textId="77777777" w:rsidR="00926D0F" w:rsidRDefault="00926D0F">
      <w:pPr>
        <w:rPr>
          <w:sz w:val="24"/>
          <w:szCs w:val="24"/>
        </w:rPr>
      </w:pPr>
    </w:p>
    <w:p w14:paraId="4B82B850" w14:textId="77777777" w:rsidR="00926D0F" w:rsidRDefault="00926D0F">
      <w:pPr>
        <w:rPr>
          <w:sz w:val="24"/>
          <w:szCs w:val="24"/>
        </w:rPr>
      </w:pPr>
    </w:p>
    <w:p w14:paraId="70E5B56B" w14:textId="77777777" w:rsidR="00926D0F" w:rsidRDefault="00926D0F">
      <w:pPr>
        <w:rPr>
          <w:sz w:val="24"/>
          <w:szCs w:val="24"/>
        </w:rPr>
      </w:pPr>
    </w:p>
    <w:p w14:paraId="376DBA57" w14:textId="77777777" w:rsidR="00926D0F" w:rsidRDefault="00926D0F">
      <w:pPr>
        <w:rPr>
          <w:sz w:val="24"/>
          <w:szCs w:val="24"/>
        </w:rPr>
      </w:pPr>
    </w:p>
    <w:p w14:paraId="079267D0" w14:textId="77777777" w:rsidR="00926D0F" w:rsidRDefault="00926D0F">
      <w:pPr>
        <w:rPr>
          <w:sz w:val="24"/>
          <w:szCs w:val="24"/>
        </w:rPr>
      </w:pPr>
    </w:p>
    <w:p w14:paraId="16A53FA0" w14:textId="77777777" w:rsidR="00926D0F" w:rsidRDefault="00926D0F">
      <w:pPr>
        <w:rPr>
          <w:sz w:val="24"/>
          <w:szCs w:val="24"/>
        </w:rPr>
      </w:pPr>
    </w:p>
    <w:p w14:paraId="5C86A548" w14:textId="77777777" w:rsidR="00926D0F" w:rsidRDefault="00926D0F">
      <w:pPr>
        <w:rPr>
          <w:sz w:val="24"/>
          <w:szCs w:val="24"/>
        </w:rPr>
      </w:pPr>
    </w:p>
    <w:p w14:paraId="347F91ED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• </w:t>
      </w:r>
      <w:r>
        <w:rPr>
          <w:b/>
          <w:bCs/>
          <w:sz w:val="24"/>
          <w:szCs w:val="24"/>
        </w:rPr>
        <w:t xml:space="preserve"> Les Tres Xemeneies</w:t>
      </w:r>
      <w:r>
        <w:rPr>
          <w:sz w:val="24"/>
          <w:szCs w:val="24"/>
        </w:rPr>
        <w:t xml:space="preserve"> (Трите комина, Sant Adrià de Besòs) — централна изложба (4000 м²), Open Forum (вечерни дискусии), церемонии.</w:t>
      </w:r>
      <w:r>
        <w:rPr>
          <w:noProof/>
          <w:sz w:val="24"/>
          <w:szCs w:val="24"/>
        </w:rPr>
        <w:drawing>
          <wp:inline distT="114300" distB="114300" distL="114300" distR="114300" wp14:anchorId="18D1E7CE" wp14:editId="47B68315">
            <wp:extent cx="2764159" cy="2065176"/>
            <wp:effectExtent l="0" t="0" r="0" b="0"/>
            <wp:docPr id="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4159" cy="2065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114300" distB="114300" distL="114300" distR="114300" wp14:anchorId="3FCF8DC7" wp14:editId="187EDA45">
            <wp:extent cx="2767617" cy="2066609"/>
            <wp:effectExtent l="0" t="0" r="0" b="0"/>
            <wp:docPr id="5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7617" cy="20666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0DF19D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Disseny Hub Barcelona (DHub)</w:t>
      </w:r>
      <w:r>
        <w:rPr>
          <w:sz w:val="24"/>
          <w:szCs w:val="24"/>
        </w:rPr>
        <w:t xml:space="preserve"> — изложби на национални секции на UIA.</w:t>
      </w:r>
    </w:p>
    <w:p w14:paraId="3AFAD692" w14:textId="77777777" w:rsidR="00926D0F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55884DC6" wp14:editId="691C946C">
            <wp:extent cx="2759913" cy="3681413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9913" cy="3681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114300" distB="114300" distL="114300" distR="114300" wp14:anchorId="0876D7DE" wp14:editId="524410F3">
            <wp:extent cx="2776538" cy="3695532"/>
            <wp:effectExtent l="0" t="0" r="0" b="0"/>
            <wp:docPr id="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6538" cy="3695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068444" w14:textId="77777777" w:rsidR="00926D0F" w:rsidRDefault="00926D0F">
      <w:pPr>
        <w:rPr>
          <w:b/>
          <w:bCs/>
          <w:sz w:val="24"/>
          <w:szCs w:val="24"/>
        </w:rPr>
      </w:pPr>
    </w:p>
    <w:p w14:paraId="490D0DC1" w14:textId="77777777" w:rsidR="00926D0F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Програмата по дни се състоеше от:</w:t>
      </w:r>
    </w:p>
    <w:p w14:paraId="14D571EB" w14:textId="77777777" w:rsidR="00926D0F" w:rsidRDefault="00926D0F">
      <w:pPr>
        <w:ind w:firstLine="720"/>
        <w:rPr>
          <w:b/>
          <w:bCs/>
          <w:sz w:val="24"/>
          <w:szCs w:val="24"/>
        </w:rPr>
      </w:pPr>
    </w:p>
    <w:p w14:paraId="5B7FFED0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28 юни:</w:t>
      </w:r>
      <w:r>
        <w:rPr>
          <w:sz w:val="24"/>
          <w:szCs w:val="24"/>
        </w:rPr>
        <w:t xml:space="preserve"> Церемония по откриване и откриване на централната изложба в Les Tres Xemeneies.</w:t>
      </w:r>
    </w:p>
    <w:p w14:paraId="585F657A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29 юни – 1 юли:</w:t>
      </w:r>
      <w:r>
        <w:rPr>
          <w:sz w:val="24"/>
          <w:szCs w:val="24"/>
        </w:rPr>
        <w:t xml:space="preserve"> Основни сесии, Open Forum (вечерни разговори с храна, напитки и DJ), паралелни събития.</w:t>
      </w:r>
    </w:p>
    <w:p w14:paraId="5EC4D315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•  Награди: UIA Triennial Awards, UIA Gold Medal, студентски конкурси, UIA Own Awards.</w:t>
      </w:r>
    </w:p>
    <w:p w14:paraId="3FE2BDB2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2 юли:</w:t>
      </w:r>
      <w:r>
        <w:rPr>
          <w:sz w:val="24"/>
          <w:szCs w:val="24"/>
        </w:rPr>
        <w:t xml:space="preserve"> Церемония по закриване в CCIB, предаване на щафетата на Пекин (2029) и четене на манифест. ￼</w:t>
      </w:r>
    </w:p>
    <w:p w14:paraId="7894332C" w14:textId="77777777" w:rsidR="00926D0F" w:rsidRDefault="00000000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lastRenderedPageBreak/>
        <w:drawing>
          <wp:inline distT="114300" distB="114300" distL="114300" distR="114300" wp14:anchorId="184B280D" wp14:editId="164C322C">
            <wp:extent cx="5453063" cy="4094514"/>
            <wp:effectExtent l="0" t="0" r="0" b="0"/>
            <wp:docPr id="6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3063" cy="40945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114300" distB="114300" distL="114300" distR="114300" wp14:anchorId="042D8559" wp14:editId="6161661F">
            <wp:extent cx="5462588" cy="4082764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2588" cy="40827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7C1332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•  </w:t>
      </w:r>
      <w:r>
        <w:rPr>
          <w:b/>
          <w:bCs/>
          <w:sz w:val="24"/>
          <w:szCs w:val="24"/>
        </w:rPr>
        <w:t>Pre- и Post-congress:</w:t>
      </w:r>
      <w:r>
        <w:rPr>
          <w:sz w:val="24"/>
          <w:szCs w:val="24"/>
        </w:rPr>
        <w:t xml:space="preserve"> Работилници за студенти (18–27 юни), изложби (открити за публика до 19 юли), над 70 архитектурни маршрути (itinerarios) в Барселона и региона, включително обекти на Гауди и съвременни проекти.</w:t>
      </w:r>
    </w:p>
    <w:p w14:paraId="7AF95AE0" w14:textId="77777777" w:rsidR="00926D0F" w:rsidRDefault="00926D0F">
      <w:pPr>
        <w:rPr>
          <w:sz w:val="24"/>
          <w:szCs w:val="24"/>
        </w:rPr>
      </w:pPr>
    </w:p>
    <w:p w14:paraId="4B202AED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Сред участниците бяха Pritzker-лауреати като Lacaton &amp; Vassal, Shigeru Ban, Wang Shu (Amateur Architecture Studio), Smiljan Radić, както и много други международни и местни фигури (H Arquitectes, Bruther, Tatiana Bilbao и др.).</w:t>
      </w:r>
    </w:p>
    <w:p w14:paraId="2C1BA123" w14:textId="77777777" w:rsidR="00926D0F" w:rsidRDefault="00926D0F">
      <w:pPr>
        <w:rPr>
          <w:sz w:val="24"/>
          <w:szCs w:val="24"/>
        </w:rPr>
      </w:pPr>
    </w:p>
    <w:p w14:paraId="3B0189CA" w14:textId="77777777" w:rsidR="00926D0F" w:rsidRDefault="00000000">
      <w:pPr>
        <w:ind w:firstLine="720"/>
        <w:rPr>
          <w:sz w:val="24"/>
          <w:szCs w:val="24"/>
        </w:rPr>
      </w:pPr>
      <w:r>
        <w:rPr>
          <w:sz w:val="24"/>
          <w:szCs w:val="24"/>
        </w:rPr>
        <w:t>Българското участие беше организирано и финансирано от Съюза на архитектите в България (САБ / Union of Architects in Bulgaria) – членската секция на UIA за България. САБ представи национален павилион в изложбата на UIA Member Sections в Disseny Hub Barcelona (DHub). Кураторският проект, реализиран от XYZ unit, носеше заглавието „SYSTEM ERROR / SYSTEM OPPORTUNITY: the art of self-agency“ („Системна грешка / Системна възможност: изкуството на самодейността“). Той беше позициониран в оста Becoming Hyper-conscious. Проектът събра и архивира за първи път около 30 организации, колективи и инициативи от последните 20 години, които работят „извън“, „паралелно“ или „вътре“ в съществуващите структури, за да трансформират градската среда и архитектурната практика в България. Куратор: Венцислав Кърцелин; изследователски екип и визуален език – Виктор Дамов, Зекие Емин, Гергана Христова и др. Павилионът подчертаваше, че макар архитектурата в България често да се възприема като проблематична и „неактивна“ област, тя непрекъснато генерира активни общности и инструменти за промяна.</w:t>
      </w:r>
    </w:p>
    <w:p w14:paraId="450FEE90" w14:textId="77777777" w:rsidR="00926D0F" w:rsidRDefault="00926D0F">
      <w:pPr>
        <w:ind w:firstLine="720"/>
        <w:rPr>
          <w:sz w:val="24"/>
          <w:szCs w:val="24"/>
        </w:rPr>
      </w:pPr>
    </w:p>
    <w:p w14:paraId="0F3FDE89" w14:textId="77777777" w:rsidR="00926D0F" w:rsidRDefault="00926D0F">
      <w:pPr>
        <w:ind w:firstLine="720"/>
        <w:rPr>
          <w:sz w:val="24"/>
          <w:szCs w:val="24"/>
        </w:rPr>
      </w:pPr>
    </w:p>
    <w:p w14:paraId="2048E78B" w14:textId="77777777" w:rsidR="00926D0F" w:rsidRDefault="00926D0F">
      <w:pPr>
        <w:rPr>
          <w:b/>
          <w:bCs/>
          <w:sz w:val="24"/>
          <w:szCs w:val="24"/>
        </w:rPr>
      </w:pPr>
    </w:p>
    <w:p w14:paraId="27E774B2" w14:textId="77777777" w:rsidR="00926D0F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Съпоставимост на темите с практиката в България</w:t>
      </w:r>
    </w:p>
    <w:p w14:paraId="7574A927" w14:textId="77777777" w:rsidR="00926D0F" w:rsidRDefault="00926D0F">
      <w:pPr>
        <w:rPr>
          <w:sz w:val="24"/>
          <w:szCs w:val="24"/>
        </w:rPr>
      </w:pPr>
    </w:p>
    <w:p w14:paraId="178A2ADE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Темите на конгреса резонират силно с реалните предизвикателства и възможности в българската практика:</w:t>
      </w:r>
    </w:p>
    <w:p w14:paraId="2A9B3721" w14:textId="77777777" w:rsidR="00926D0F" w:rsidRDefault="00926D0F">
      <w:pPr>
        <w:rPr>
          <w:sz w:val="24"/>
          <w:szCs w:val="24"/>
        </w:rPr>
      </w:pPr>
    </w:p>
    <w:p w14:paraId="1F9EB479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Becoming Circular и Becoming Embodied - </w:t>
      </w:r>
      <w:r>
        <w:rPr>
          <w:sz w:val="24"/>
          <w:szCs w:val="24"/>
        </w:rPr>
        <w:t>В България голяма част от жилищния фонд има лоши енергийни характеристики и се нуждае от спешна реновация. Програмите по Националния план за възстановяване и устойчивост (НПВУ) и европейските директиви (вкл. Nearly-zero energy buildings) вече налагат кръгови принципи, рециклирани материали и ниско енергийно потребление. Има растящ интерес към естествени материали (слама, глина, дърво), зелени покриви и пасивни решения – примери от частни архитекти и пилотни проекти показват, че тези подходи са и климатично, и икономически рационални в континенталния климат на страната. Конгресът потвърди, че кръговостта не е само „зелена“ тема, а стратегическа необходимост за ограничени ресурси и стареещ фонд.</w:t>
      </w:r>
    </w:p>
    <w:p w14:paraId="267E4460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Becoming Interdependent - </w:t>
      </w:r>
      <w:r>
        <w:rPr>
          <w:sz w:val="24"/>
          <w:szCs w:val="24"/>
        </w:rPr>
        <w:t xml:space="preserve">Кризата на достъпното жилище, качеството на публичните пространства и управлението на етажната собственост са ежедневна реалност. Темите за социална инфраструктура, inclusive design и „архитектура за всички“ директно кореспондират с нуждите в големите градове </w:t>
      </w:r>
      <w:r>
        <w:rPr>
          <w:sz w:val="24"/>
          <w:szCs w:val="24"/>
        </w:rPr>
        <w:lastRenderedPageBreak/>
        <w:t>(София, Пловдив, Варна, Бургас и др.) и в по-малките населени места. Българският опит с масовото саниране и опитите за подобряване на междублоковите пространства може да бъде както урок, така и принос към глобалните дискусии.</w:t>
      </w:r>
    </w:p>
    <w:p w14:paraId="5511D61D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Becoming More-than-human - </w:t>
      </w:r>
      <w:r>
        <w:rPr>
          <w:sz w:val="24"/>
          <w:szCs w:val="24"/>
        </w:rPr>
        <w:t>Климатичните промени (все по-екстремни горещини и суши) и нуждата от зелена инфраструктура, интеграция на реките и увеличаване на зелените площи са актуални за цялата страна.</w:t>
      </w:r>
    </w:p>
    <w:p w14:paraId="284FFC11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Becoming Hyper-conscious - </w:t>
      </w:r>
      <w:r>
        <w:rPr>
          <w:sz w:val="24"/>
          <w:szCs w:val="24"/>
        </w:rPr>
        <w:t>Тук българският павилион беше най-силен. Той показа, че в условия на институционални и регулаторни ограничения архитектите и гражданските инициативи създават собствени инструменти за действие. Това е ценен принос – не просто „проблеми“, а алтернативни практики. За КАБ и САБ темата повдига въпроси за ролята на професионалните организации: как да подкрепяме, а не само да регулираме.</w:t>
      </w:r>
    </w:p>
    <w:p w14:paraId="1F85D060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Becoming Attuned - </w:t>
      </w:r>
      <w:r>
        <w:rPr>
          <w:sz w:val="24"/>
          <w:szCs w:val="24"/>
        </w:rPr>
        <w:t>Културната идентичност и отношението към наследството (модернизъм, панелни комплекси, селска архитектура) остават важни. Конгресът напомни, че преходът не е само технически, а и културен.</w:t>
      </w:r>
    </w:p>
    <w:p w14:paraId="6B97AF31" w14:textId="77777777" w:rsidR="00926D0F" w:rsidRDefault="00926D0F">
      <w:pPr>
        <w:rPr>
          <w:sz w:val="24"/>
          <w:szCs w:val="24"/>
        </w:rPr>
      </w:pPr>
    </w:p>
    <w:p w14:paraId="3528CD1C" w14:textId="77777777" w:rsidR="00926D0F" w:rsidRDefault="00926D0F">
      <w:pPr>
        <w:rPr>
          <w:b/>
          <w:bCs/>
          <w:sz w:val="24"/>
          <w:szCs w:val="24"/>
        </w:rPr>
      </w:pPr>
    </w:p>
    <w:p w14:paraId="79516AA2" w14:textId="77777777" w:rsidR="00926D0F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Изводи и препоръки:</w:t>
      </w:r>
    </w:p>
    <w:p w14:paraId="4374C349" w14:textId="77777777" w:rsidR="00926D0F" w:rsidRDefault="00926D0F">
      <w:pPr>
        <w:rPr>
          <w:sz w:val="24"/>
          <w:szCs w:val="24"/>
        </w:rPr>
      </w:pPr>
    </w:p>
    <w:p w14:paraId="717499DD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1.  Българското присъствие беше качествено и смислено</w:t>
      </w:r>
      <w:r>
        <w:rPr>
          <w:sz w:val="24"/>
          <w:szCs w:val="24"/>
        </w:rPr>
        <w:t xml:space="preserve"> – не просто представително, а концептуално. Павилионът на САБ/XYZ даде глас на „невидимите“ инициативи и позиционира България като място на критичен самоанализ, а не само на изоставане.</w:t>
      </w:r>
    </w:p>
    <w:p w14:paraId="213FA507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2.  Темите са директно приложими:</w:t>
      </w:r>
      <w:r>
        <w:rPr>
          <w:sz w:val="24"/>
          <w:szCs w:val="24"/>
        </w:rPr>
        <w:t xml:space="preserve"> България вече е в процес на енергийно обновяване, въвеждане на nearly-zero стандарти и търсене на кръгови решения. Конгресът дава рамка и международна легитимност на тези процеси.</w:t>
      </w:r>
    </w:p>
    <w:p w14:paraId="21AACD32" w14:textId="77777777" w:rsidR="00926D0F" w:rsidRDefault="00926D0F">
      <w:pPr>
        <w:rPr>
          <w:sz w:val="24"/>
          <w:szCs w:val="24"/>
        </w:rPr>
      </w:pPr>
    </w:p>
    <w:p w14:paraId="308EADDD" w14:textId="77777777" w:rsidR="00926D0F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 Възможности за КАБ:</w:t>
      </w:r>
    </w:p>
    <w:p w14:paraId="6CB0C1B0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>•  Укрепване на сътрудничеството със САБ по международни форуми и изложби;</w:t>
      </w:r>
    </w:p>
    <w:p w14:paraId="540364F0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>•  Организиране на национални дискусии и работни групи по шестте оси, с акцент върху практическото им прилагане в нормативната база,обществените поръчки и обучението;</w:t>
      </w:r>
    </w:p>
    <w:p w14:paraId="21442986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>•  Подкрепа за архивиране и видимост на алтернативните практики (както направи павилионът);</w:t>
      </w:r>
    </w:p>
    <w:p w14:paraId="4EF9C774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>•  Активно участие в следващия конгрес (Пекин 2029) с още по-широко представяне на български проекти и лектори.</w:t>
      </w:r>
    </w:p>
    <w:p w14:paraId="5F659BCF" w14:textId="77777777" w:rsidR="00926D0F" w:rsidRDefault="00926D0F">
      <w:pPr>
        <w:rPr>
          <w:sz w:val="24"/>
          <w:szCs w:val="24"/>
        </w:rPr>
      </w:pPr>
    </w:p>
    <w:p w14:paraId="581738E7" w14:textId="77777777" w:rsidR="00926D0F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4.  Предизвикателства, които остават:</w:t>
      </w:r>
      <w:r>
        <w:rPr>
          <w:sz w:val="24"/>
          <w:szCs w:val="24"/>
        </w:rPr>
        <w:t xml:space="preserve"> фрагментираност на зелените практики, недостатъчна координация между институциите, бавно внедряване на кръгови принципи в масовото строителство и нужда от по-добра връзка между регулацията (КАБ) и творческо-професионалната дейност (САБ и независимите инициативи).</w:t>
      </w:r>
    </w:p>
    <w:p w14:paraId="0DEED48E" w14:textId="77777777" w:rsidR="00926D0F" w:rsidRDefault="00926D0F">
      <w:pPr>
        <w:rPr>
          <w:sz w:val="24"/>
          <w:szCs w:val="24"/>
        </w:rPr>
      </w:pPr>
    </w:p>
    <w:p w14:paraId="1E5D0EE0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Конгресът в Барселона потвърди, че архитектурата в преход изисква не само технически решения, а и нови форми на agency, сътрудничество и критично мислене. Българският принос в тази посока беше ценен и заслужава да бъде продължен и задълбочен у дома.</w:t>
      </w:r>
    </w:p>
    <w:p w14:paraId="73105F32" w14:textId="77777777" w:rsidR="00926D0F" w:rsidRDefault="00926D0F">
      <w:pPr>
        <w:rPr>
          <w:sz w:val="24"/>
          <w:szCs w:val="24"/>
        </w:rPr>
      </w:pPr>
    </w:p>
    <w:p w14:paraId="5620E75D" w14:textId="77777777" w:rsidR="00926D0F" w:rsidRDefault="00926D0F">
      <w:pPr>
        <w:rPr>
          <w:sz w:val="24"/>
          <w:szCs w:val="24"/>
        </w:rPr>
      </w:pPr>
    </w:p>
    <w:p w14:paraId="4758D1B2" w14:textId="77777777" w:rsidR="00926D0F" w:rsidRDefault="00926D0F">
      <w:pPr>
        <w:rPr>
          <w:sz w:val="24"/>
          <w:szCs w:val="24"/>
        </w:rPr>
      </w:pPr>
    </w:p>
    <w:p w14:paraId="35717D9F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Изготвили доклада:</w:t>
      </w:r>
    </w:p>
    <w:p w14:paraId="5DECFC13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арх. Георги Найденов </w:t>
      </w:r>
    </w:p>
    <w:p w14:paraId="678F5165" w14:textId="77777777" w:rsidR="00926D0F" w:rsidRDefault="00000000">
      <w:pPr>
        <w:rPr>
          <w:sz w:val="24"/>
          <w:szCs w:val="24"/>
        </w:rPr>
      </w:pPr>
      <w:r>
        <w:rPr>
          <w:sz w:val="24"/>
          <w:szCs w:val="24"/>
        </w:rPr>
        <w:t>арх. Радина Тодорова</w:t>
      </w:r>
    </w:p>
    <w:sectPr w:rsidR="00926D0F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  <w:embedRegular r:id="rId1" w:fontKey="{DD93DFCD-3E73-49D6-BFEC-4826A0DEFE72}"/>
    <w:embedBold r:id="rId2" w:fontKey="{D580270A-0A4B-405D-AB3C-23499B1A83F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17F9397A-91EB-453C-99A3-A0BC9CB861F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DDE4E2C-DAFE-41CF-BF63-74E534FB44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D0F"/>
    <w:rsid w:val="00294EA9"/>
    <w:rsid w:val="00454D13"/>
    <w:rsid w:val="00926D0F"/>
    <w:rsid w:val="00CA6365"/>
    <w:rsid w:val="00D2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0843"/>
  <w15:docId w15:val="{072B212F-70BD-4FA9-B18B-B957F93F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1195</Words>
  <Characters>6815</Characters>
  <Application>Microsoft Office Word</Application>
  <DocSecurity>0</DocSecurity>
  <Lines>56</Lines>
  <Paragraphs>15</Paragraphs>
  <ScaleCrop>false</ScaleCrop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15 PRO</dc:creator>
  <cp:lastModifiedBy>Dell 15 PRO</cp:lastModifiedBy>
  <cp:revision>3</cp:revision>
  <dcterms:created xsi:type="dcterms:W3CDTF">2026-10-27T10:26:00Z</dcterms:created>
  <dcterms:modified xsi:type="dcterms:W3CDTF">2026-10-27T12:21:00Z</dcterms:modified>
</cp:coreProperties>
</file>